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/>
    <w:sectPr w:rsidR="00FC693F" w:rsidRPr="0006063C" w:rsidSect="00034616">
      <w:headerReference w:type="default" r:id="rId9"/>
      <w:footerReference w:type="default" r:id="rId10"/>
      <w:pgSz w:w="12240" w:h="15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drawing>
        <wp:inline xmlns:a="http://schemas.openxmlformats.org/drawingml/2006/main" xmlns:pic="http://schemas.openxmlformats.org/drawingml/2006/picture">
          <wp:extent cx="7772400" cy="728662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foote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72400" cy="728662"/>
                  </a:xfrm>
                  <a:prstGeom prst="rect"/>
                </pic:spPr>
              </pic:pic>
            </a:graphicData>
          </a:graphic>
        </wp:inline>
      </w:drawing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drawing>
        <wp:inline xmlns:a="http://schemas.openxmlformats.org/drawingml/2006/main" xmlns:pic="http://schemas.openxmlformats.org/drawingml/2006/picture">
          <wp:extent cx="7772400" cy="1263015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heade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72400" cy="1263015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